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C764" w14:textId="77777777" w:rsidR="00BF4C04" w:rsidRPr="00BF4C04" w:rsidRDefault="00BF4C04" w:rsidP="00BF4C04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>Anexa 1 la Regulament</w:t>
      </w:r>
    </w:p>
    <w:p w14:paraId="021E3E65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</w:p>
    <w:p w14:paraId="5D4C4DEE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  <w:t>Categorii de cheltuieli eligibile:</w:t>
      </w:r>
    </w:p>
    <w:p w14:paraId="535687DE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I.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  <w:t>Cheltuieli de transport;</w:t>
      </w:r>
    </w:p>
    <w:p w14:paraId="39A7296A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II.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  <w:t>Cheltuieli de cazare;</w:t>
      </w:r>
    </w:p>
    <w:p w14:paraId="5CEC9236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III.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  <w:t xml:space="preserve"> Cheltuieli de masă (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max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30% din valoarea totală a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finantării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);</w:t>
      </w:r>
    </w:p>
    <w:p w14:paraId="7AB1FF20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IV.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  <w:t>Cheltuieli privind plata arbitrilor, medicilor și a altor persoane;</w:t>
      </w:r>
    </w:p>
    <w:p w14:paraId="199562D7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V.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  <w:t xml:space="preserve">Cheltuieli pentru achiziționarea de materiale, echipament sportiv pentru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activităţi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sportive (max. 30%);</w:t>
      </w:r>
    </w:p>
    <w:p w14:paraId="12FDA175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VI.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  <w:t xml:space="preserve">Cheltuieli cu premiile, indemnizațiile, veniturile contractuale ale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participantilor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la activitatea sportivă, primele și alte drepturi(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max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80% din valoarea totală a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finanţării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);</w:t>
      </w:r>
    </w:p>
    <w:p w14:paraId="2727C6B2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VII:.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  <w:t>Alte categorii de cheltuieli (prestări servicii de impresariat si reprezentare sportivă, altele)</w:t>
      </w:r>
    </w:p>
    <w:p w14:paraId="3BFE4F30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Pentru organizarea, respectiv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desfăşurarea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acţiunilor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sportive reglementate de prezentele norme, Beneficiarii pot efectua, după caz, cu încadrarea în prevederile bugetare aprobate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alocate prin contractul de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finanţare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, cheltuieli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pentru:</w:t>
      </w:r>
    </w:p>
    <w:p w14:paraId="2630CAF1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a)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  <w:t xml:space="preserve">cheltuieli cu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indemnizaţiile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veniturile de natură contractuală stabilite prin contractul de activitate sportiva (CAS) încheiate între structura sportivă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sportivi/membrii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stafului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tehnic (antrenori, preparatori fizici, medici,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asistenti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medicali, statisticieni,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kinetoterapeuti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, maseuri, cameramani, directori tehnici, alte persoane participante la procesul de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pregatire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participare la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competiţii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în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condiţiile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legislaţiei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în vigoare)</w:t>
      </w:r>
      <w:r w:rsidRPr="00BF4C04">
        <w:rPr>
          <w:rFonts w:ascii="Times New Roman" w:eastAsia="Times New Roman" w:hAnsi="Times New Roman" w:cs="Times New Roman"/>
          <w:kern w:val="0"/>
          <w:sz w:val="22"/>
          <w:szCs w:val="22"/>
          <w:lang w:val="ro-RO"/>
          <w14:ligatures w14:val="none"/>
        </w:rPr>
        <w:t xml:space="preserve"> 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care au dobândit statutul de PIF (persoană fizică independentă), în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condiţiile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legislaţiei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în vigoare (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max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80% din valoarea totală a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finanţării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);</w:t>
      </w:r>
    </w:p>
    <w:p w14:paraId="38E6459C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b)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  <w:t xml:space="preserve">închiriere de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locuinţe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pentru cazare sportivi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personal tehnic participant la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acţiunile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de pregătire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participare la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competiţii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, la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preţul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pieţei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libere. Pentru participarea la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acţiuni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de pregătire (cantonamente, turnee, alte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acţiuni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) sau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acţiuni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sportive din calendarul oficial pe ramură de sport se vor deconta doar cazări în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locaţii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cotate cu maxim 3***);</w:t>
      </w:r>
    </w:p>
    <w:p w14:paraId="75094524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c)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  <w:t xml:space="preserve">cheltuieli de transport ocazionate de prezentarea/sosirea si plecarea sportivilor precum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a membrilor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stafului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tehnic din localitatea/tara de domiciliu la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locaţia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stabilită pentru pregătire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retur, în conformitate cu prevederile contractului de activitate sportivă dintre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părti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;</w:t>
      </w:r>
    </w:p>
    <w:p w14:paraId="7FAE5D40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d)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  <w:t xml:space="preserve">servicii de închiriere de baze sportive, săli de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conferinţă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,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spaţii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, aparatură birotică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alte bunuri necesare organizării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acţiunilor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;</w:t>
      </w:r>
    </w:p>
    <w:p w14:paraId="5F3C6519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e)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  <w:t xml:space="preserve">asigurarea serviciilor medicale, a ordinii publice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a respectării normelor de pază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protecţie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contra incendiilor, la locul de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desfăşurare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a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acţiunilor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sportive;</w:t>
      </w:r>
    </w:p>
    <w:p w14:paraId="2AFF4BDF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f)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achiziţionarea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de panouri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materiale publicitare, materiale pentru pavoazare, rechizite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alte materiale consumabile, aranjamente florale;</w:t>
      </w:r>
    </w:p>
    <w:p w14:paraId="1F0E710C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g)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  <w:t xml:space="preserve">cheltuieli de închiriere domenii website,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întretinere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promovare a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acţiunilor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sportive în mediul online;</w:t>
      </w:r>
    </w:p>
    <w:p w14:paraId="08139455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h)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  <w:t xml:space="preserve">taxe de înscriere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/sau de participare la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acţiunile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sportive, taxe de organizare a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acţiunilor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, în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condiţiile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stabilite de organizatori,  taxe de formare, legitimare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transfer;</w:t>
      </w:r>
    </w:p>
    <w:p w14:paraId="722E327B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i)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obţinerea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vizelor de intrare în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ţările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în care au loc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acţiunile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;</w:t>
      </w:r>
    </w:p>
    <w:p w14:paraId="71537BF6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j)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  <w:t xml:space="preserve">plata lectorilor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şi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a translatorilor;</w:t>
      </w:r>
    </w:p>
    <w:p w14:paraId="2AC78022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k)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  <w:t xml:space="preserve">alte cheltuieli in limitele financiare stabilite prin HG 1447/2007 cu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completarile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si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modificarile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ulterioare;</w:t>
      </w:r>
    </w:p>
    <w:p w14:paraId="428B6441" w14:textId="77777777" w:rsidR="00BF4C04" w:rsidRPr="00BF4C04" w:rsidRDefault="00BF4C04" w:rsidP="00BF4C0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l)</w:t>
      </w: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ab/>
        <w:t xml:space="preserve">cheltuieli administrative pentru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funcţionarea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structurii sportive,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max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5% din valoarea totală a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finanţării</w:t>
      </w:r>
      <w:proofErr w:type="spellEnd"/>
    </w:p>
    <w:p w14:paraId="4CA6D990" w14:textId="34E4A4F1" w:rsidR="00BF4C04" w:rsidRPr="00BF4C04" w:rsidRDefault="00BF4C04" w:rsidP="00BF4C04">
      <w:pPr>
        <w:spacing w:after="0" w:line="240" w:lineRule="auto"/>
        <w:jc w:val="both"/>
        <w:rPr>
          <w:lang w:val="ro-RO"/>
        </w:rPr>
      </w:pPr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Cuantumul pe fiecare categorie este prevăzut în H.G. 1447/2007 privind aprobarea normelor financiare pentru activitatea sportivă,  cu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completarile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si </w:t>
      </w:r>
      <w:proofErr w:type="spellStart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>modificarile</w:t>
      </w:r>
      <w:proofErr w:type="spellEnd"/>
      <w:r w:rsidRPr="00BF4C04">
        <w:rPr>
          <w:rFonts w:ascii="Times New Roman" w:eastAsia="Calibri" w:hAnsi="Times New Roman" w:cs="Times New Roman"/>
          <w:kern w:val="0"/>
          <w:lang w:val="ro-RO" w:eastAsia="ro-RO"/>
          <w14:ligatures w14:val="none"/>
        </w:rPr>
        <w:t xml:space="preserve"> ulterioare;</w:t>
      </w:r>
    </w:p>
    <w:sectPr w:rsidR="00BF4C04" w:rsidRPr="00BF4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04"/>
    <w:rsid w:val="0054672F"/>
    <w:rsid w:val="00B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D629"/>
  <w15:chartTrackingRefBased/>
  <w15:docId w15:val="{E93F04B5-F884-4B06-9306-89E6EF86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F4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F4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F4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4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F4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F4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F4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F4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F4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4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F4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F4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F4C0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F4C0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F4C0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F4C0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F4C0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F4C0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F4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F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F4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F4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F4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F4C0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F4C0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F4C0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F4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F4C0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F4C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2025-04-02T09:41:00Z</dcterms:created>
  <dcterms:modified xsi:type="dcterms:W3CDTF">2025-04-02T09:41:00Z</dcterms:modified>
</cp:coreProperties>
</file>